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kern w:val="0"/>
          <w:sz w:val="36"/>
          <w:szCs w:val="36"/>
        </w:rPr>
      </w:pPr>
      <w:r>
        <w:rPr>
          <w:rFonts w:hint="eastAsia" w:ascii="方正小标宋简体" w:hAnsi="方正小标宋简体" w:eastAsia="方正小标宋简体" w:cs="方正小标宋简体"/>
          <w:b/>
          <w:bCs/>
          <w:kern w:val="0"/>
          <w:sz w:val="36"/>
          <w:szCs w:val="36"/>
        </w:rPr>
        <w:t>黄山学院学生社团指导教师考核测评表</w:t>
      </w:r>
    </w:p>
    <w:p>
      <w:pPr>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kern w:val="0"/>
          <w:sz w:val="36"/>
          <w:szCs w:val="36"/>
        </w:rPr>
        <w:t>（业务指导单位）</w:t>
      </w:r>
    </w:p>
    <w:tbl>
      <w:tblPr>
        <w:tblStyle w:val="4"/>
        <w:tblW w:w="8835" w:type="dxa"/>
        <w:tblInd w:w="0" w:type="dxa"/>
        <w:tblLayout w:type="fixed"/>
        <w:tblCellMar>
          <w:top w:w="0" w:type="dxa"/>
          <w:left w:w="108" w:type="dxa"/>
          <w:bottom w:w="0" w:type="dxa"/>
          <w:right w:w="108" w:type="dxa"/>
        </w:tblCellMar>
      </w:tblPr>
      <w:tblGrid>
        <w:gridCol w:w="812"/>
        <w:gridCol w:w="930"/>
        <w:gridCol w:w="5797"/>
        <w:gridCol w:w="576"/>
        <w:gridCol w:w="720"/>
      </w:tblGrid>
      <w:tr>
        <w:tblPrEx>
          <w:tblCellMar>
            <w:top w:w="0" w:type="dxa"/>
            <w:left w:w="108" w:type="dxa"/>
            <w:bottom w:w="0" w:type="dxa"/>
            <w:right w:w="108" w:type="dxa"/>
          </w:tblCellMar>
        </w:tblPrEx>
        <w:trPr>
          <w:trHeight w:val="570" w:hRule="atLeast"/>
        </w:trPr>
        <w:tc>
          <w:tcPr>
            <w:tcW w:w="812" w:type="dxa"/>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项目权重</w:t>
            </w:r>
          </w:p>
        </w:tc>
        <w:tc>
          <w:tcPr>
            <w:tcW w:w="930" w:type="dxa"/>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考核要素</w:t>
            </w:r>
          </w:p>
        </w:tc>
        <w:tc>
          <w:tcPr>
            <w:tcW w:w="5797" w:type="dxa"/>
            <w:tcBorders>
              <w:top w:val="single" w:color="auto" w:sz="4" w:space="0"/>
              <w:left w:val="nil"/>
              <w:bottom w:val="single" w:color="auto" w:sz="4" w:space="0"/>
              <w:right w:val="single" w:color="auto" w:sz="4" w:space="0"/>
            </w:tcBorders>
            <w:noWrap/>
            <w:vAlign w:val="center"/>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评   价   标   准</w:t>
            </w:r>
          </w:p>
        </w:tc>
        <w:tc>
          <w:tcPr>
            <w:tcW w:w="576" w:type="dxa"/>
            <w:tcBorders>
              <w:top w:val="single" w:color="auto" w:sz="4" w:space="0"/>
              <w:left w:val="nil"/>
              <w:bottom w:val="single" w:color="auto" w:sz="4" w:space="0"/>
              <w:right w:val="single" w:color="auto" w:sz="4" w:space="0"/>
            </w:tcBorders>
            <w:noWrap/>
            <w:vAlign w:val="bottom"/>
          </w:tcPr>
          <w:p>
            <w:pPr>
              <w:widowControl/>
              <w:spacing w:line="260" w:lineRule="exact"/>
              <w:jc w:val="both"/>
              <w:rPr>
                <w:rFonts w:ascii="仿宋" w:hAnsi="仿宋" w:eastAsia="仿宋" w:cs="仿宋"/>
                <w:kern w:val="0"/>
                <w:sz w:val="24"/>
                <w:szCs w:val="24"/>
              </w:rPr>
            </w:pPr>
            <w:r>
              <w:rPr>
                <w:rFonts w:hint="eastAsia" w:ascii="仿宋" w:hAnsi="仿宋" w:eastAsia="仿宋" w:cs="仿宋"/>
                <w:kern w:val="0"/>
                <w:sz w:val="24"/>
                <w:szCs w:val="24"/>
              </w:rPr>
              <w:t>分值</w:t>
            </w:r>
          </w:p>
          <w:p>
            <w:pPr>
              <w:widowControl/>
              <w:spacing w:line="260" w:lineRule="exact"/>
              <w:jc w:val="center"/>
              <w:rPr>
                <w:rFonts w:ascii="仿宋" w:hAnsi="仿宋" w:eastAsia="仿宋" w:cs="仿宋"/>
                <w:kern w:val="0"/>
                <w:sz w:val="24"/>
                <w:szCs w:val="24"/>
              </w:rPr>
            </w:pPr>
          </w:p>
        </w:tc>
        <w:tc>
          <w:tcPr>
            <w:tcW w:w="720" w:type="dxa"/>
            <w:tcBorders>
              <w:top w:val="single" w:color="auto" w:sz="4" w:space="0"/>
              <w:left w:val="nil"/>
              <w:bottom w:val="single" w:color="auto" w:sz="4" w:space="0"/>
              <w:right w:val="single" w:color="auto" w:sz="4" w:space="0"/>
            </w:tcBorders>
            <w:vAlign w:val="bottom"/>
          </w:tcPr>
          <w:p>
            <w:pPr>
              <w:widowControl/>
              <w:spacing w:line="260" w:lineRule="exact"/>
              <w:jc w:val="both"/>
              <w:rPr>
                <w:rFonts w:ascii="仿宋" w:hAnsi="仿宋" w:eastAsia="仿宋" w:cs="仿宋"/>
                <w:kern w:val="0"/>
                <w:sz w:val="24"/>
                <w:szCs w:val="24"/>
              </w:rPr>
            </w:pPr>
            <w:r>
              <w:rPr>
                <w:rFonts w:hint="eastAsia" w:ascii="仿宋" w:hAnsi="仿宋" w:eastAsia="仿宋" w:cs="仿宋"/>
                <w:kern w:val="0"/>
                <w:sz w:val="24"/>
                <w:szCs w:val="24"/>
              </w:rPr>
              <w:t>评定分数</w:t>
            </w:r>
          </w:p>
        </w:tc>
      </w:tr>
      <w:tr>
        <w:tblPrEx>
          <w:tblCellMar>
            <w:top w:w="0" w:type="dxa"/>
            <w:left w:w="108" w:type="dxa"/>
            <w:bottom w:w="0" w:type="dxa"/>
            <w:right w:w="108" w:type="dxa"/>
          </w:tblCellMar>
        </w:tblPrEx>
        <w:trPr>
          <w:cantSplit/>
          <w:trHeight w:val="90" w:hRule="atLeast"/>
        </w:trPr>
        <w:tc>
          <w:tcPr>
            <w:tcW w:w="812" w:type="dxa"/>
            <w:vMerge w:val="restart"/>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政</w:t>
            </w:r>
          </w:p>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治</w:t>
            </w:r>
          </w:p>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思</w:t>
            </w:r>
          </w:p>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想</w:t>
            </w:r>
          </w:p>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品</w:t>
            </w:r>
          </w:p>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德</w:t>
            </w:r>
          </w:p>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1</w:t>
            </w:r>
            <w:r>
              <w:rPr>
                <w:rFonts w:ascii="仿宋" w:hAnsi="仿宋" w:eastAsia="仿宋" w:cs="仿宋"/>
                <w:kern w:val="0"/>
                <w:sz w:val="24"/>
                <w:szCs w:val="24"/>
              </w:rPr>
              <w:t>5</w:t>
            </w:r>
          </w:p>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分</w:t>
            </w:r>
          </w:p>
        </w:tc>
        <w:tc>
          <w:tcPr>
            <w:tcW w:w="930" w:type="dxa"/>
            <w:vMerge w:val="restart"/>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政治态度</w:t>
            </w: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坚持四项基本原则，坚持改革开放，立场坚定，坚决增强“四个意识”坚定“四个自信”做到“两个维护”</w:t>
            </w:r>
          </w:p>
        </w:tc>
        <w:tc>
          <w:tcPr>
            <w:tcW w:w="576"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5</w:t>
            </w:r>
          </w:p>
        </w:tc>
        <w:tc>
          <w:tcPr>
            <w:tcW w:w="720"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634"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基本坚持四项基本原则，坚持改革开放，立场坚定，坚决增强“四个意识”坚定“四个自信”做到“两个维护”</w:t>
            </w:r>
          </w:p>
        </w:tc>
        <w:tc>
          <w:tcPr>
            <w:tcW w:w="576" w:type="dxa"/>
            <w:tcBorders>
              <w:top w:val="nil"/>
              <w:left w:val="nil"/>
              <w:bottom w:val="single" w:color="auto" w:sz="4" w:space="0"/>
              <w:right w:val="single" w:color="auto" w:sz="4" w:space="0"/>
            </w:tcBorders>
            <w:noWrap/>
            <w:vAlign w:val="center"/>
          </w:tcPr>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4</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360"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能执行党的路线、方针、政策，拥护改革开放</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3</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360"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有明显违反国家法纪、廉洁自律、克己奉公行为</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restart"/>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遵纪守法</w:t>
            </w:r>
          </w:p>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廉洁奉公</w:t>
            </w: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严格遵守国家法纪，廉洁自律，克己奉公</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5</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遵守国家法纪，为政较廉洁</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遵守法纪和规章制度</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遵纪守法差，甚至损公肥私</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90"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restart"/>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思想品德</w:t>
            </w: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品质好，作风正派，敢于开展自我批评，虚心，求实</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5</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54"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品质好，作风正派，能开展自我批评，态度诚恳</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360"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品质较好</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360" w:hRule="atLeast"/>
        </w:trPr>
        <w:tc>
          <w:tcPr>
            <w:tcW w:w="812" w:type="dxa"/>
            <w:vMerge w:val="continue"/>
            <w:tcBorders>
              <w:top w:val="nil"/>
              <w:left w:val="single" w:color="auto" w:sz="4" w:space="0"/>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一般2分；差0分</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0/2</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540" w:hRule="atLeast"/>
        </w:trPr>
        <w:tc>
          <w:tcPr>
            <w:tcW w:w="812" w:type="dxa"/>
            <w:vMerge w:val="restart"/>
            <w:tcBorders>
              <w:top w:val="nil"/>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工</w:t>
            </w:r>
          </w:p>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作</w:t>
            </w:r>
          </w:p>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能</w:t>
            </w:r>
          </w:p>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力</w:t>
            </w:r>
          </w:p>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1</w:t>
            </w:r>
            <w:r>
              <w:rPr>
                <w:rFonts w:ascii="仿宋" w:hAnsi="仿宋" w:eastAsia="仿宋" w:cs="仿宋"/>
                <w:kern w:val="0"/>
                <w:sz w:val="24"/>
                <w:szCs w:val="24"/>
              </w:rPr>
              <w:t>5</w:t>
            </w:r>
          </w:p>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分</w:t>
            </w:r>
          </w:p>
        </w:tc>
        <w:tc>
          <w:tcPr>
            <w:tcW w:w="930" w:type="dxa"/>
            <w:vMerge w:val="restart"/>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学识水平</w:t>
            </w: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政策水平高，能结合实际制定切实可行的办法，熟练掌握本职工作业务，知识面广</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5</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540"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政策水平高，能结合本职工作制定出较好的实施办法，或能较好地执行具体政策，知识面较广</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540"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政策水平一般，了解本职工作业务知识，基本能执行具体政策</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360"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政策水平一般，缺乏本职工作业务知识</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1</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540"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restart"/>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办事能力</w:t>
            </w: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办事迅速、果断、正确、效率高，组织管理能力和工作应变能力强</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5</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540"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能正确执行学生社团任务，办事效率高，组织管理能力和工作应变能力较强</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4</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360"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一定的管理能力，办事效率尚可</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360"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难以处理本职工作，办事效率低</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540"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restart"/>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工作创新能力</w:t>
            </w: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对本职工作善于总结，有见解，能提出有效的新办法、新措施</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5</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540"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single" w:color="auto" w:sz="4" w:space="0"/>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对本职工作有一定的见解，能提出有利于本职工作的新办法、新措施</w:t>
            </w:r>
          </w:p>
        </w:tc>
        <w:tc>
          <w:tcPr>
            <w:tcW w:w="576"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4</w:t>
            </w:r>
          </w:p>
        </w:tc>
        <w:tc>
          <w:tcPr>
            <w:tcW w:w="720"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对本职工作有一定的见解</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2</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top w:val="nil"/>
              <w:left w:val="nil"/>
              <w:bottom w:val="single" w:color="000000"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工作无创新</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restart"/>
            <w:tcBorders>
              <w:top w:val="single" w:color="auto" w:sz="4" w:space="0"/>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工</w:t>
            </w:r>
          </w:p>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作</w:t>
            </w:r>
          </w:p>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态</w:t>
            </w:r>
          </w:p>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度</w:t>
            </w:r>
          </w:p>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20</w:t>
            </w:r>
          </w:p>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分</w:t>
            </w:r>
          </w:p>
        </w:tc>
        <w:tc>
          <w:tcPr>
            <w:tcW w:w="930"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出勤率</w:t>
            </w:r>
          </w:p>
        </w:tc>
        <w:tc>
          <w:tcPr>
            <w:tcW w:w="5797" w:type="dxa"/>
            <w:tcBorders>
              <w:top w:val="single" w:color="auto" w:sz="4" w:space="0"/>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每学期主讲一次以上与学生社团相关的专业讲座或培训，每季度组织并参加一次以上全体社团成员会议</w:t>
            </w:r>
          </w:p>
        </w:tc>
        <w:tc>
          <w:tcPr>
            <w:tcW w:w="576"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10</w:t>
            </w:r>
          </w:p>
        </w:tc>
        <w:tc>
          <w:tcPr>
            <w:tcW w:w="720"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single" w:color="auto" w:sz="4" w:space="0"/>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每学期主讲一次与学生社团相关的专业讲座或培训，每季度组织并参加一次全体社团成员会议</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8</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single" w:color="auto" w:sz="4" w:space="0"/>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每年主讲一次与学生社团相关的专业讲座或培训，每学期组织并参加一次全体社团成员会议</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5</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本年度组织并参与过社团成员全体大会但没有主讲与社团相关的专业讲座或培训</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3</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本年度主讲过与社团相关的专业讲座或培训但没有组织并参与过社团成员全体大会</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3</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top w:val="nil"/>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本年度没有主讲与学生社团相关的专业讲座或培训，没有组织并参加过全体社团成员会议</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restart"/>
            <w:tcBorders>
              <w:top w:val="nil"/>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材料提交情况</w:t>
            </w: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按时修改、审核社团工作计划及年度工作总结，并提交给社团管理部门</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10</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按时修改、审核社团工作计划，并提交给社团管理部门</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5</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按时修改、审核社团年度工作总结，并提交给社团管理部门</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5</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nil"/>
              <w:left w:val="nil"/>
              <w:bottom w:val="single" w:color="auto" w:sz="4" w:space="0"/>
              <w:right w:val="single" w:color="auto" w:sz="4" w:space="0"/>
            </w:tcBorders>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未按时修改、审核社团工作计划及年度工作总结，并提交给社团管理部门</w:t>
            </w:r>
          </w:p>
        </w:tc>
        <w:tc>
          <w:tcPr>
            <w:tcW w:w="576"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0</w:t>
            </w:r>
          </w:p>
        </w:tc>
        <w:tc>
          <w:tcPr>
            <w:tcW w:w="720" w:type="dxa"/>
            <w:tcBorders>
              <w:top w:val="nil"/>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restart"/>
            <w:tcBorders>
              <w:top w:val="single" w:color="auto" w:sz="4" w:space="0"/>
              <w:left w:val="single" w:color="auto" w:sz="4" w:space="0"/>
              <w:right w:val="single" w:color="auto" w:sz="4" w:space="0"/>
            </w:tcBorders>
            <w:vAlign w:val="center"/>
          </w:tcPr>
          <w:p>
            <w:pPr>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工</w:t>
            </w:r>
          </w:p>
          <w:p>
            <w:pPr>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作</w:t>
            </w:r>
          </w:p>
          <w:p>
            <w:pPr>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业</w:t>
            </w:r>
          </w:p>
          <w:p>
            <w:pPr>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绩</w:t>
            </w:r>
          </w:p>
          <w:p>
            <w:pPr>
              <w:spacing w:line="260" w:lineRule="exact"/>
              <w:jc w:val="center"/>
              <w:rPr>
                <w:rFonts w:ascii="仿宋" w:hAnsi="仿宋" w:eastAsia="仿宋" w:cs="仿宋"/>
                <w:kern w:val="0"/>
                <w:sz w:val="24"/>
                <w:szCs w:val="24"/>
              </w:rPr>
            </w:pPr>
            <w:r>
              <w:rPr>
                <w:rFonts w:ascii="仿宋" w:hAnsi="仿宋" w:eastAsia="仿宋" w:cs="仿宋"/>
                <w:kern w:val="0"/>
                <w:sz w:val="24"/>
                <w:szCs w:val="24"/>
              </w:rPr>
              <w:t>50</w:t>
            </w:r>
          </w:p>
          <w:p>
            <w:pPr>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分</w:t>
            </w:r>
          </w:p>
        </w:tc>
        <w:tc>
          <w:tcPr>
            <w:tcW w:w="930" w:type="dxa"/>
            <w:vMerge w:val="restart"/>
            <w:tcBorders>
              <w:top w:val="nil"/>
              <w:left w:val="nil"/>
              <w:right w:val="single" w:color="auto" w:sz="4" w:space="0"/>
            </w:tcBorders>
            <w:vAlign w:val="center"/>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完成</w:t>
            </w:r>
          </w:p>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任务</w:t>
            </w:r>
          </w:p>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情况</w:t>
            </w:r>
          </w:p>
        </w:tc>
        <w:tc>
          <w:tcPr>
            <w:tcW w:w="5797"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指导学生社团协办团委的大型活动2次及以上</w:t>
            </w:r>
          </w:p>
        </w:tc>
        <w:tc>
          <w:tcPr>
            <w:tcW w:w="576"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10</w:t>
            </w:r>
          </w:p>
        </w:tc>
        <w:tc>
          <w:tcPr>
            <w:tcW w:w="720"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left w:val="single" w:color="auto" w:sz="4" w:space="0"/>
              <w:right w:val="single" w:color="auto" w:sz="4" w:space="0"/>
            </w:tcBorders>
            <w:vAlign w:val="center"/>
          </w:tcPr>
          <w:p>
            <w:pPr>
              <w:spacing w:line="260" w:lineRule="exact"/>
              <w:jc w:val="center"/>
              <w:rPr>
                <w:rFonts w:ascii="仿宋" w:hAnsi="仿宋" w:eastAsia="仿宋" w:cs="仿宋"/>
                <w:kern w:val="0"/>
                <w:sz w:val="24"/>
                <w:szCs w:val="24"/>
              </w:rPr>
            </w:pPr>
          </w:p>
        </w:tc>
        <w:tc>
          <w:tcPr>
            <w:tcW w:w="930" w:type="dxa"/>
            <w:vMerge w:val="continue"/>
            <w:tcBorders>
              <w:left w:val="nil"/>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指导学生社团协办团委、社联会的大型活动</w:t>
            </w:r>
            <w:r>
              <w:rPr>
                <w:rFonts w:ascii="仿宋" w:hAnsi="仿宋" w:eastAsia="仿宋" w:cs="仿宋"/>
                <w:kern w:val="0"/>
                <w:sz w:val="24"/>
                <w:szCs w:val="24"/>
              </w:rPr>
              <w:t>1</w:t>
            </w:r>
            <w:r>
              <w:rPr>
                <w:rFonts w:hint="eastAsia" w:ascii="仿宋" w:hAnsi="仿宋" w:eastAsia="仿宋" w:cs="仿宋"/>
                <w:kern w:val="0"/>
                <w:sz w:val="24"/>
                <w:szCs w:val="24"/>
              </w:rPr>
              <w:t>次</w:t>
            </w:r>
          </w:p>
        </w:tc>
        <w:tc>
          <w:tcPr>
            <w:tcW w:w="576"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5</w:t>
            </w:r>
          </w:p>
        </w:tc>
        <w:tc>
          <w:tcPr>
            <w:tcW w:w="720"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left w:val="single" w:color="auto" w:sz="4" w:space="0"/>
              <w:right w:val="single" w:color="auto" w:sz="4" w:space="0"/>
            </w:tcBorders>
            <w:vAlign w:val="center"/>
          </w:tcPr>
          <w:p>
            <w:pPr>
              <w:spacing w:line="260" w:lineRule="exact"/>
              <w:jc w:val="center"/>
              <w:rPr>
                <w:rFonts w:ascii="仿宋" w:hAnsi="仿宋" w:eastAsia="仿宋" w:cs="仿宋"/>
                <w:kern w:val="0"/>
                <w:sz w:val="24"/>
                <w:szCs w:val="24"/>
              </w:rPr>
            </w:pPr>
          </w:p>
        </w:tc>
        <w:tc>
          <w:tcPr>
            <w:tcW w:w="930" w:type="dxa"/>
            <w:vMerge w:val="continue"/>
            <w:tcBorders>
              <w:left w:val="nil"/>
              <w:bottom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未指导学生社团协办团委、社联会的大型活动</w:t>
            </w:r>
          </w:p>
        </w:tc>
        <w:tc>
          <w:tcPr>
            <w:tcW w:w="576"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ascii="仿宋" w:hAnsi="仿宋" w:eastAsia="仿宋" w:cs="仿宋"/>
                <w:kern w:val="0"/>
                <w:sz w:val="24"/>
                <w:szCs w:val="24"/>
              </w:rPr>
              <w:t>0</w:t>
            </w:r>
          </w:p>
        </w:tc>
        <w:tc>
          <w:tcPr>
            <w:tcW w:w="720"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restart"/>
            <w:tcBorders>
              <w:top w:val="single" w:color="auto" w:sz="4" w:space="0"/>
              <w:left w:val="nil"/>
              <w:right w:val="single" w:color="auto" w:sz="4" w:space="0"/>
            </w:tcBorders>
            <w:vAlign w:val="center"/>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社团获奖情况</w:t>
            </w:r>
          </w:p>
        </w:tc>
        <w:tc>
          <w:tcPr>
            <w:tcW w:w="5797"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指导</w:t>
            </w:r>
            <w:r>
              <w:rPr>
                <w:rFonts w:hint="eastAsia" w:ascii="仿宋" w:hAnsi="仿宋" w:eastAsia="仿宋" w:cs="仿宋"/>
                <w:kern w:val="0"/>
                <w:sz w:val="24"/>
                <w:szCs w:val="24"/>
              </w:rPr>
              <w:t>社团在本年度获得国家级奖项</w:t>
            </w:r>
          </w:p>
        </w:tc>
        <w:tc>
          <w:tcPr>
            <w:tcW w:w="576"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5</w:t>
            </w:r>
          </w:p>
        </w:tc>
        <w:tc>
          <w:tcPr>
            <w:tcW w:w="720"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left w:val="nil"/>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指导</w:t>
            </w:r>
            <w:r>
              <w:rPr>
                <w:rFonts w:hint="eastAsia" w:ascii="仿宋" w:hAnsi="仿宋" w:eastAsia="仿宋" w:cs="仿宋"/>
                <w:kern w:val="0"/>
                <w:sz w:val="24"/>
                <w:szCs w:val="24"/>
              </w:rPr>
              <w:t>社团在本年度获得省级奖项</w:t>
            </w:r>
          </w:p>
        </w:tc>
        <w:tc>
          <w:tcPr>
            <w:tcW w:w="576"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4</w:t>
            </w:r>
          </w:p>
        </w:tc>
        <w:tc>
          <w:tcPr>
            <w:tcW w:w="720"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left w:val="nil"/>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指导</w:t>
            </w:r>
            <w:r>
              <w:rPr>
                <w:rFonts w:hint="eastAsia" w:ascii="仿宋" w:hAnsi="仿宋" w:eastAsia="仿宋" w:cs="仿宋"/>
                <w:kern w:val="0"/>
                <w:sz w:val="24"/>
                <w:szCs w:val="24"/>
              </w:rPr>
              <w:t>社团在本年度获得市级奖项</w:t>
            </w:r>
          </w:p>
        </w:tc>
        <w:tc>
          <w:tcPr>
            <w:tcW w:w="576"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3</w:t>
            </w:r>
          </w:p>
        </w:tc>
        <w:tc>
          <w:tcPr>
            <w:tcW w:w="720"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left w:val="nil"/>
              <w:bottom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指导</w:t>
            </w:r>
            <w:r>
              <w:rPr>
                <w:rFonts w:hint="eastAsia" w:ascii="仿宋" w:hAnsi="仿宋" w:eastAsia="仿宋" w:cs="仿宋"/>
                <w:kern w:val="0"/>
                <w:sz w:val="24"/>
                <w:szCs w:val="24"/>
              </w:rPr>
              <w:t>社团在本年度获得校级奖项</w:t>
            </w:r>
          </w:p>
        </w:tc>
        <w:tc>
          <w:tcPr>
            <w:tcW w:w="576"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720"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restart"/>
            <w:tcBorders>
              <w:top w:val="nil"/>
              <w:left w:val="nil"/>
              <w:right w:val="single" w:color="auto" w:sz="4" w:space="0"/>
            </w:tcBorders>
            <w:noWrap/>
            <w:vAlign w:val="center"/>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工作质量</w:t>
            </w:r>
          </w:p>
        </w:tc>
        <w:tc>
          <w:tcPr>
            <w:tcW w:w="5797"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指导</w:t>
            </w:r>
            <w:r>
              <w:rPr>
                <w:rFonts w:hint="eastAsia" w:ascii="仿宋" w:hAnsi="仿宋" w:eastAsia="仿宋" w:cs="仿宋"/>
                <w:kern w:val="0"/>
                <w:sz w:val="24"/>
                <w:szCs w:val="24"/>
              </w:rPr>
              <w:t>社团在年审中获得9</w:t>
            </w:r>
            <w:r>
              <w:rPr>
                <w:rFonts w:ascii="仿宋" w:hAnsi="仿宋" w:eastAsia="仿宋" w:cs="仿宋"/>
                <w:kern w:val="0"/>
                <w:sz w:val="24"/>
                <w:szCs w:val="24"/>
              </w:rPr>
              <w:t>0</w:t>
            </w:r>
            <w:r>
              <w:rPr>
                <w:rFonts w:hint="eastAsia" w:ascii="仿宋" w:hAnsi="仿宋" w:eastAsia="仿宋" w:cs="仿宋"/>
                <w:kern w:val="0"/>
                <w:sz w:val="24"/>
                <w:szCs w:val="24"/>
              </w:rPr>
              <w:t>分以上</w:t>
            </w:r>
          </w:p>
        </w:tc>
        <w:tc>
          <w:tcPr>
            <w:tcW w:w="576"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20</w:t>
            </w:r>
          </w:p>
        </w:tc>
        <w:tc>
          <w:tcPr>
            <w:tcW w:w="720"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left w:val="nil"/>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指导</w:t>
            </w:r>
            <w:r>
              <w:rPr>
                <w:rFonts w:hint="eastAsia" w:ascii="仿宋" w:hAnsi="仿宋" w:eastAsia="仿宋" w:cs="仿宋"/>
                <w:kern w:val="0"/>
                <w:sz w:val="24"/>
                <w:szCs w:val="24"/>
              </w:rPr>
              <w:t>社团在年审中获得</w:t>
            </w:r>
            <w:r>
              <w:rPr>
                <w:rFonts w:ascii="仿宋" w:hAnsi="仿宋" w:eastAsia="仿宋" w:cs="仿宋"/>
                <w:kern w:val="0"/>
                <w:sz w:val="24"/>
                <w:szCs w:val="24"/>
              </w:rPr>
              <w:t>80-89</w:t>
            </w:r>
            <w:r>
              <w:rPr>
                <w:rFonts w:hint="eastAsia" w:ascii="仿宋" w:hAnsi="仿宋" w:eastAsia="仿宋" w:cs="仿宋"/>
                <w:kern w:val="0"/>
                <w:sz w:val="24"/>
                <w:szCs w:val="24"/>
              </w:rPr>
              <w:t>分</w:t>
            </w:r>
          </w:p>
        </w:tc>
        <w:tc>
          <w:tcPr>
            <w:tcW w:w="576"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18</w:t>
            </w:r>
          </w:p>
        </w:tc>
        <w:tc>
          <w:tcPr>
            <w:tcW w:w="720"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left w:val="nil"/>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指导</w:t>
            </w:r>
            <w:r>
              <w:rPr>
                <w:rFonts w:hint="eastAsia" w:ascii="仿宋" w:hAnsi="仿宋" w:eastAsia="仿宋" w:cs="仿宋"/>
                <w:kern w:val="0"/>
                <w:sz w:val="24"/>
                <w:szCs w:val="24"/>
              </w:rPr>
              <w:t>社团在年审中获得6</w:t>
            </w:r>
            <w:r>
              <w:rPr>
                <w:rFonts w:ascii="仿宋" w:hAnsi="仿宋" w:eastAsia="仿宋" w:cs="仿宋"/>
                <w:kern w:val="0"/>
                <w:sz w:val="24"/>
                <w:szCs w:val="24"/>
              </w:rPr>
              <w:t>9</w:t>
            </w:r>
            <w:r>
              <w:rPr>
                <w:rFonts w:hint="eastAsia" w:ascii="仿宋" w:hAnsi="仿宋" w:eastAsia="仿宋" w:cs="仿宋"/>
                <w:kern w:val="0"/>
                <w:sz w:val="24"/>
                <w:szCs w:val="24"/>
              </w:rPr>
              <w:t>-</w:t>
            </w:r>
            <w:r>
              <w:rPr>
                <w:rFonts w:ascii="仿宋" w:hAnsi="仿宋" w:eastAsia="仿宋" w:cs="仿宋"/>
                <w:kern w:val="0"/>
                <w:sz w:val="24"/>
                <w:szCs w:val="24"/>
              </w:rPr>
              <w:t>79</w:t>
            </w:r>
            <w:r>
              <w:rPr>
                <w:rFonts w:hint="eastAsia" w:ascii="仿宋" w:hAnsi="仿宋" w:eastAsia="仿宋" w:cs="仿宋"/>
                <w:kern w:val="0"/>
                <w:sz w:val="24"/>
                <w:szCs w:val="24"/>
              </w:rPr>
              <w:t>分</w:t>
            </w:r>
          </w:p>
        </w:tc>
        <w:tc>
          <w:tcPr>
            <w:tcW w:w="576"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14</w:t>
            </w:r>
          </w:p>
        </w:tc>
        <w:tc>
          <w:tcPr>
            <w:tcW w:w="720"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09" w:hRule="atLeast"/>
        </w:trPr>
        <w:tc>
          <w:tcPr>
            <w:tcW w:w="812" w:type="dxa"/>
            <w:vMerge w:val="continue"/>
            <w:tcBorders>
              <w:left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left w:val="nil"/>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指导</w:t>
            </w:r>
            <w:r>
              <w:rPr>
                <w:rFonts w:hint="eastAsia" w:ascii="仿宋" w:hAnsi="仿宋" w:eastAsia="仿宋" w:cs="仿宋"/>
                <w:kern w:val="0"/>
                <w:sz w:val="24"/>
                <w:szCs w:val="24"/>
              </w:rPr>
              <w:t>社团在年审中获得</w:t>
            </w:r>
            <w:r>
              <w:rPr>
                <w:rFonts w:ascii="仿宋" w:hAnsi="仿宋" w:eastAsia="仿宋" w:cs="仿宋"/>
                <w:kern w:val="0"/>
                <w:sz w:val="24"/>
                <w:szCs w:val="24"/>
              </w:rPr>
              <w:t>60-69</w:t>
            </w:r>
            <w:r>
              <w:rPr>
                <w:rFonts w:hint="eastAsia" w:ascii="仿宋" w:hAnsi="仿宋" w:eastAsia="仿宋" w:cs="仿宋"/>
                <w:kern w:val="0"/>
                <w:sz w:val="24"/>
                <w:szCs w:val="24"/>
              </w:rPr>
              <w:t>分</w:t>
            </w:r>
          </w:p>
        </w:tc>
        <w:tc>
          <w:tcPr>
            <w:tcW w:w="576"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1</w:t>
            </w:r>
            <w:r>
              <w:rPr>
                <w:rFonts w:ascii="仿宋" w:hAnsi="仿宋" w:eastAsia="仿宋" w:cs="仿宋"/>
                <w:kern w:val="0"/>
                <w:sz w:val="24"/>
                <w:szCs w:val="24"/>
              </w:rPr>
              <w:t>0</w:t>
            </w:r>
          </w:p>
        </w:tc>
        <w:tc>
          <w:tcPr>
            <w:tcW w:w="720"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2" w:type="dxa"/>
            <w:vMerge w:val="continue"/>
            <w:tcBorders>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930" w:type="dxa"/>
            <w:vMerge w:val="continue"/>
            <w:tcBorders>
              <w:left w:val="nil"/>
              <w:bottom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p>
        </w:tc>
        <w:tc>
          <w:tcPr>
            <w:tcW w:w="5797"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lang w:val="en-US" w:eastAsia="zh-CN"/>
              </w:rPr>
              <w:t>指导</w:t>
            </w:r>
            <w:bookmarkStart w:id="0" w:name="_GoBack"/>
            <w:bookmarkEnd w:id="0"/>
            <w:r>
              <w:rPr>
                <w:rFonts w:hint="eastAsia" w:ascii="仿宋" w:hAnsi="仿宋" w:eastAsia="仿宋" w:cs="仿宋"/>
                <w:kern w:val="0"/>
                <w:sz w:val="24"/>
                <w:szCs w:val="24"/>
              </w:rPr>
              <w:t>社团在年审中低于6</w:t>
            </w:r>
            <w:r>
              <w:rPr>
                <w:rFonts w:ascii="仿宋" w:hAnsi="仿宋" w:eastAsia="仿宋" w:cs="仿宋"/>
                <w:kern w:val="0"/>
                <w:sz w:val="24"/>
                <w:szCs w:val="24"/>
              </w:rPr>
              <w:t>0</w:t>
            </w:r>
            <w:r>
              <w:rPr>
                <w:rFonts w:hint="eastAsia" w:ascii="仿宋" w:hAnsi="仿宋" w:eastAsia="仿宋" w:cs="仿宋"/>
                <w:kern w:val="0"/>
                <w:sz w:val="24"/>
                <w:szCs w:val="24"/>
              </w:rPr>
              <w:t>分</w:t>
            </w:r>
          </w:p>
        </w:tc>
        <w:tc>
          <w:tcPr>
            <w:tcW w:w="576"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0</w:t>
            </w:r>
          </w:p>
        </w:tc>
        <w:tc>
          <w:tcPr>
            <w:tcW w:w="720"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r>
        <w:tblPrEx>
          <w:tblCellMar>
            <w:top w:w="0" w:type="dxa"/>
            <w:left w:w="108" w:type="dxa"/>
            <w:bottom w:w="0" w:type="dxa"/>
            <w:right w:w="108" w:type="dxa"/>
          </w:tblCellMar>
        </w:tblPrEx>
        <w:trPr>
          <w:cantSplit/>
          <w:trHeight w:val="414" w:hRule="atLeast"/>
        </w:trPr>
        <w:tc>
          <w:tcPr>
            <w:tcW w:w="8115" w:type="dxa"/>
            <w:gridSpan w:val="4"/>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 w:hAnsi="仿宋" w:eastAsia="仿宋" w:cs="仿宋"/>
                <w:kern w:val="0"/>
                <w:sz w:val="24"/>
                <w:szCs w:val="24"/>
              </w:rPr>
            </w:pPr>
            <w:r>
              <w:rPr>
                <w:rFonts w:hint="eastAsia" w:ascii="仿宋" w:hAnsi="仿宋" w:eastAsia="仿宋" w:cs="仿宋"/>
                <w:kern w:val="0"/>
                <w:sz w:val="24"/>
                <w:szCs w:val="24"/>
              </w:rPr>
              <w:t>合        计</w:t>
            </w:r>
          </w:p>
        </w:tc>
        <w:tc>
          <w:tcPr>
            <w:tcW w:w="720" w:type="dxa"/>
            <w:tcBorders>
              <w:top w:val="single" w:color="auto" w:sz="4" w:space="0"/>
              <w:left w:val="nil"/>
              <w:bottom w:val="single" w:color="auto" w:sz="4" w:space="0"/>
              <w:right w:val="single" w:color="auto" w:sz="4" w:space="0"/>
            </w:tcBorders>
            <w:noWrap/>
            <w:vAlign w:val="bottom"/>
          </w:tcPr>
          <w:p>
            <w:pPr>
              <w:widowControl/>
              <w:spacing w:line="260" w:lineRule="exact"/>
              <w:jc w:val="center"/>
              <w:rPr>
                <w:rFonts w:ascii="仿宋" w:hAnsi="仿宋" w:eastAsia="仿宋" w:cs="仿宋"/>
                <w:kern w:val="0"/>
                <w:sz w:val="24"/>
                <w:szCs w:val="24"/>
              </w:rPr>
            </w:pPr>
          </w:p>
        </w:tc>
      </w:tr>
    </w:tbl>
    <w:p>
      <w:pPr>
        <w:rPr>
          <w:rFonts w:ascii="宋体" w:hAnsi="宋体"/>
          <w:sz w:val="24"/>
          <w:szCs w:val="24"/>
        </w:rPr>
      </w:pPr>
    </w:p>
    <w:p>
      <w:pPr>
        <w:rPr>
          <w:rFonts w:eastAsia="仿宋"/>
        </w:rPr>
      </w:pPr>
      <w:r>
        <w:rPr>
          <w:rFonts w:hint="eastAsia" w:ascii="仿宋" w:hAnsi="仿宋" w:eastAsia="仿宋" w:cs="仿宋"/>
          <w:sz w:val="24"/>
          <w:szCs w:val="24"/>
        </w:rPr>
        <w:t xml:space="preserve"> 考核人签字：                        业务指导单位</w:t>
      </w:r>
      <w:r>
        <w:rPr>
          <w:rFonts w:hint="eastAsia" w:ascii="仿宋" w:hAnsi="仿宋" w:eastAsia="仿宋" w:cs="仿宋"/>
          <w:sz w:val="24"/>
          <w:szCs w:val="24"/>
          <w:lang w:val="en-US" w:eastAsia="zh-CN"/>
        </w:rPr>
        <w:t>党委/党组织</w:t>
      </w:r>
      <w:r>
        <w:rPr>
          <w:rFonts w:hint="eastAsia" w:ascii="仿宋" w:hAnsi="仿宋" w:eastAsia="仿宋" w:cs="仿宋"/>
          <w:sz w:val="24"/>
          <w:szCs w:val="24"/>
        </w:rPr>
        <w:t>盖章: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jMTYyMjUxNTE2YTllM2RmZDFhNTdiMzgxNDBmOTMifQ=="/>
  </w:docVars>
  <w:rsids>
    <w:rsidRoot w:val="00970C6A"/>
    <w:rsid w:val="00285777"/>
    <w:rsid w:val="00494866"/>
    <w:rsid w:val="006D7227"/>
    <w:rsid w:val="00731DE3"/>
    <w:rsid w:val="007A53B5"/>
    <w:rsid w:val="008D1306"/>
    <w:rsid w:val="008D2106"/>
    <w:rsid w:val="00970C6A"/>
    <w:rsid w:val="009A2CAE"/>
    <w:rsid w:val="00AE61B8"/>
    <w:rsid w:val="00B95A74"/>
    <w:rsid w:val="00CE079B"/>
    <w:rsid w:val="00D2164F"/>
    <w:rsid w:val="00F440D1"/>
    <w:rsid w:val="1791261C"/>
    <w:rsid w:val="295E6B72"/>
    <w:rsid w:val="2C27366E"/>
    <w:rsid w:val="5B514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kern w:val="2"/>
      <w:sz w:val="18"/>
      <w:szCs w:val="18"/>
    </w:rPr>
  </w:style>
  <w:style w:type="character" w:customStyle="1" w:styleId="7">
    <w:name w:val="页脚 字符"/>
    <w:basedOn w:val="5"/>
    <w:link w:val="2"/>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1250</Words>
  <Characters>1277</Characters>
  <Lines>11</Lines>
  <Paragraphs>3</Paragraphs>
  <TotalTime>18</TotalTime>
  <ScaleCrop>false</ScaleCrop>
  <LinksUpToDate>false</LinksUpToDate>
  <CharactersWithSpaces>1319</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2023-03-09T07:51:00Z</dcterms:created>
  <dc:creator>zjmdmv</dc:creator>
  <cp:lastModifiedBy>wl</cp:lastModifiedBy>
  <dcterms:modified xsi:type="dcterms:W3CDTF">2023-03-21T08:10:56Z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FEA2B3A0AB3F4F09BA30DA84C5227F60</vt:lpwstr>
  </property>
</Properties>
</file>